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66" w:rsidRPr="006A3166" w:rsidRDefault="006A3166" w:rsidP="006A3166">
      <w:pPr>
        <w:pStyle w:val="1"/>
        <w:keepNext w:val="0"/>
        <w:widowControl w:val="0"/>
        <w:spacing w:before="0" w:after="0"/>
        <w:ind w:left="709"/>
        <w:jc w:val="center"/>
        <w:rPr>
          <w:rFonts w:ascii="Times New Roman" w:hAnsi="Times New Roman" w:cs="Times New Roman"/>
          <w:bCs w:val="0"/>
          <w:caps/>
          <w:sz w:val="22"/>
          <w:szCs w:val="22"/>
        </w:rPr>
      </w:pPr>
      <w:r w:rsidRPr="006A3166">
        <w:rPr>
          <w:rFonts w:ascii="Times New Roman" w:hAnsi="Times New Roman" w:cs="Times New Roman"/>
          <w:bCs w:val="0"/>
          <w:caps/>
          <w:sz w:val="22"/>
          <w:szCs w:val="22"/>
        </w:rPr>
        <w:t>РАСЧЕТ НАЛОГОВОЙ НАГРУЗКИ НА ПРИМЕРЕ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Компания «Силовые машины», созданная в 2000 году, объединяет технологические, производственные и интеллектуальные ресурсы всемирно и</w:t>
      </w:r>
      <w:r w:rsidRPr="006A3166">
        <w:rPr>
          <w:sz w:val="22"/>
          <w:szCs w:val="22"/>
        </w:rPr>
        <w:t>з</w:t>
      </w:r>
      <w:r w:rsidRPr="006A3166">
        <w:rPr>
          <w:sz w:val="22"/>
          <w:szCs w:val="22"/>
        </w:rPr>
        <w:t>вестных российских предприятий: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Ленингра</w:t>
      </w:r>
      <w:r w:rsidRPr="006A3166">
        <w:rPr>
          <w:sz w:val="22"/>
          <w:szCs w:val="22"/>
        </w:rPr>
        <w:t>д</w:t>
      </w:r>
      <w:r w:rsidRPr="006A3166">
        <w:rPr>
          <w:sz w:val="22"/>
          <w:szCs w:val="22"/>
        </w:rPr>
        <w:t>ский Металлический завод (</w:t>
      </w:r>
      <w:smartTag w:uri="urn:schemas-microsoft-com:office:smarttags" w:element="metricconverter">
        <w:smartTagPr>
          <w:attr w:name="ProductID" w:val="1857 г"/>
        </w:smartTagPr>
        <w:r w:rsidRPr="006A3166">
          <w:rPr>
            <w:sz w:val="22"/>
            <w:szCs w:val="22"/>
          </w:rPr>
          <w:t>1857 г</w:t>
        </w:r>
      </w:smartTag>
      <w:r w:rsidRPr="006A3166">
        <w:rPr>
          <w:sz w:val="22"/>
          <w:szCs w:val="22"/>
        </w:rPr>
        <w:t>.);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«</w:t>
      </w:r>
      <w:proofErr w:type="spellStart"/>
      <w:r w:rsidRPr="006A3166">
        <w:rPr>
          <w:sz w:val="22"/>
          <w:szCs w:val="22"/>
        </w:rPr>
        <w:t>Электросила</w:t>
      </w:r>
      <w:proofErr w:type="spellEnd"/>
      <w:r w:rsidRPr="006A3166">
        <w:rPr>
          <w:sz w:val="22"/>
          <w:szCs w:val="22"/>
        </w:rPr>
        <w:t>» (</w:t>
      </w:r>
      <w:smartTag w:uri="urn:schemas-microsoft-com:office:smarttags" w:element="metricconverter">
        <w:smartTagPr>
          <w:attr w:name="ProductID" w:val="1898 г"/>
        </w:smartTagPr>
        <w:r w:rsidRPr="006A3166">
          <w:rPr>
            <w:sz w:val="22"/>
            <w:szCs w:val="22"/>
          </w:rPr>
          <w:t>1898 г</w:t>
        </w:r>
      </w:smartTag>
      <w:r w:rsidRPr="006A3166">
        <w:rPr>
          <w:sz w:val="22"/>
          <w:szCs w:val="22"/>
        </w:rPr>
        <w:t>.);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Завод турбинных лопаток (</w:t>
      </w:r>
      <w:smartTag w:uri="urn:schemas-microsoft-com:office:smarttags" w:element="metricconverter">
        <w:smartTagPr>
          <w:attr w:name="ProductID" w:val="1964 г"/>
        </w:smartTagPr>
        <w:r w:rsidRPr="006A3166">
          <w:rPr>
            <w:sz w:val="22"/>
            <w:szCs w:val="22"/>
          </w:rPr>
          <w:t>1964 г</w:t>
        </w:r>
      </w:smartTag>
      <w:r w:rsidRPr="006A3166">
        <w:rPr>
          <w:sz w:val="22"/>
          <w:szCs w:val="22"/>
        </w:rPr>
        <w:t>.);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Калужский турбинный завод (</w:t>
      </w:r>
      <w:smartTag w:uri="urn:schemas-microsoft-com:office:smarttags" w:element="metricconverter">
        <w:smartTagPr>
          <w:attr w:name="ProductID" w:val="1946 г"/>
        </w:smartTagPr>
        <w:r w:rsidRPr="006A3166">
          <w:rPr>
            <w:sz w:val="22"/>
            <w:szCs w:val="22"/>
          </w:rPr>
          <w:t>1946 г</w:t>
        </w:r>
      </w:smartTag>
      <w:r w:rsidRPr="006A3166">
        <w:rPr>
          <w:sz w:val="22"/>
          <w:szCs w:val="22"/>
        </w:rPr>
        <w:t>.);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«</w:t>
      </w:r>
      <w:proofErr w:type="spellStart"/>
      <w:r w:rsidRPr="006A3166">
        <w:rPr>
          <w:sz w:val="22"/>
          <w:szCs w:val="22"/>
        </w:rPr>
        <w:t>Энергомашэкспорт</w:t>
      </w:r>
      <w:proofErr w:type="spellEnd"/>
      <w:r w:rsidRPr="006A3166">
        <w:rPr>
          <w:sz w:val="22"/>
          <w:szCs w:val="22"/>
        </w:rPr>
        <w:t>» (1966 г.);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- «Силовые </w:t>
      </w:r>
      <w:proofErr w:type="gramStart"/>
      <w:r w:rsidRPr="006A3166">
        <w:rPr>
          <w:sz w:val="22"/>
          <w:szCs w:val="22"/>
        </w:rPr>
        <w:t>машины-завод</w:t>
      </w:r>
      <w:proofErr w:type="gramEnd"/>
      <w:r w:rsidRPr="006A3166">
        <w:rPr>
          <w:sz w:val="22"/>
          <w:szCs w:val="22"/>
        </w:rPr>
        <w:t xml:space="preserve"> Реостат» (</w:t>
      </w:r>
      <w:smartTag w:uri="urn:schemas-microsoft-com:office:smarttags" w:element="metricconverter">
        <w:smartTagPr>
          <w:attr w:name="ProductID" w:val="1960 г"/>
        </w:smartTagPr>
        <w:r w:rsidRPr="006A3166">
          <w:rPr>
            <w:sz w:val="22"/>
            <w:szCs w:val="22"/>
          </w:rPr>
          <w:t>1960 г</w:t>
        </w:r>
      </w:smartTag>
      <w:r w:rsidRPr="006A3166">
        <w:rPr>
          <w:sz w:val="22"/>
          <w:szCs w:val="22"/>
        </w:rPr>
        <w:t>.).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ОАО «Силовые машины» – это крупнейшая энергомашиностроител</w:t>
      </w:r>
      <w:r w:rsidRPr="006A3166">
        <w:rPr>
          <w:sz w:val="22"/>
          <w:szCs w:val="22"/>
        </w:rPr>
        <w:t>ь</w:t>
      </w:r>
      <w:r w:rsidRPr="006A3166">
        <w:rPr>
          <w:sz w:val="22"/>
          <w:szCs w:val="22"/>
        </w:rPr>
        <w:t>ная компания в России, успешно конкурирующая на глобальном рынке с м</w:t>
      </w:r>
      <w:r w:rsidRPr="006A3166">
        <w:rPr>
          <w:sz w:val="22"/>
          <w:szCs w:val="22"/>
        </w:rPr>
        <w:t>и</w:t>
      </w:r>
      <w:r w:rsidRPr="006A3166">
        <w:rPr>
          <w:sz w:val="22"/>
          <w:szCs w:val="22"/>
        </w:rPr>
        <w:t>ровыми производителями энергетического оборудования, такими как «С</w:t>
      </w:r>
      <w:r w:rsidRPr="006A3166">
        <w:rPr>
          <w:sz w:val="22"/>
          <w:szCs w:val="22"/>
        </w:rPr>
        <w:t>и</w:t>
      </w:r>
      <w:r w:rsidRPr="006A3166">
        <w:rPr>
          <w:sz w:val="22"/>
          <w:szCs w:val="22"/>
        </w:rPr>
        <w:t>менс», «Дженерал электрик» и «</w:t>
      </w:r>
      <w:proofErr w:type="spellStart"/>
      <w:r w:rsidRPr="006A3166">
        <w:rPr>
          <w:sz w:val="22"/>
          <w:szCs w:val="22"/>
        </w:rPr>
        <w:t>Альстом</w:t>
      </w:r>
      <w:proofErr w:type="spellEnd"/>
      <w:r w:rsidRPr="006A3166">
        <w:rPr>
          <w:sz w:val="22"/>
          <w:szCs w:val="22"/>
        </w:rPr>
        <w:t>».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6A3166">
        <w:rPr>
          <w:bCs/>
          <w:sz w:val="22"/>
          <w:szCs w:val="22"/>
        </w:rPr>
        <w:t>Основная продукция и услуги: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гидравлические турбины и гидрогенераторы от 4 до 750 МВт;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- паровые турбины мощностью до 1200 МВт (конденсационные, теплофикационные, </w:t>
      </w:r>
      <w:proofErr w:type="spellStart"/>
      <w:r w:rsidRPr="006A3166">
        <w:rPr>
          <w:sz w:val="22"/>
          <w:szCs w:val="22"/>
        </w:rPr>
        <w:t>противода</w:t>
      </w:r>
      <w:r w:rsidRPr="006A3166">
        <w:rPr>
          <w:sz w:val="22"/>
          <w:szCs w:val="22"/>
        </w:rPr>
        <w:t>в</w:t>
      </w:r>
      <w:r w:rsidRPr="006A3166">
        <w:rPr>
          <w:sz w:val="22"/>
          <w:szCs w:val="22"/>
        </w:rPr>
        <w:t>ленческие</w:t>
      </w:r>
      <w:proofErr w:type="spellEnd"/>
      <w:r w:rsidRPr="006A3166">
        <w:rPr>
          <w:sz w:val="22"/>
          <w:szCs w:val="22"/>
        </w:rPr>
        <w:t>, приводные);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паровые турбины геотермальные от 1,7 до 23 МВт (2,5–25 МВт);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турбогенераторы мощностью до 1200 МВт;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газовые турбины мощностью 65 МВт (собственная разработка) и 160 МВт (по лицензии фирмы «Сименс»), парогазовые установки на их основе, КВОУ газовых турбин;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- вспомогательное оборудование, включая системы автоматического регулирования и управления, конденсаторы, системы возбуждения, </w:t>
      </w:r>
      <w:proofErr w:type="spellStart"/>
      <w:r w:rsidRPr="006A3166">
        <w:rPr>
          <w:sz w:val="22"/>
          <w:szCs w:val="22"/>
        </w:rPr>
        <w:t>предту</w:t>
      </w:r>
      <w:r w:rsidRPr="006A3166">
        <w:rPr>
          <w:sz w:val="22"/>
          <w:szCs w:val="22"/>
        </w:rPr>
        <w:t>р</w:t>
      </w:r>
      <w:r w:rsidRPr="006A3166">
        <w:rPr>
          <w:sz w:val="22"/>
          <w:szCs w:val="22"/>
        </w:rPr>
        <w:t>бинные</w:t>
      </w:r>
      <w:proofErr w:type="spellEnd"/>
      <w:r w:rsidRPr="006A3166">
        <w:rPr>
          <w:sz w:val="22"/>
          <w:szCs w:val="22"/>
        </w:rPr>
        <w:t xml:space="preserve"> затворы и др.;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крупные электрические машины;</w:t>
      </w:r>
    </w:p>
    <w:p w:rsidR="006A3166" w:rsidRPr="006A3166" w:rsidRDefault="006A3166" w:rsidP="006A3166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лопатки для паровых и газовых турбин;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- сервис и модернизация.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Для расчета налоговой нагрузки компании «Силовые машины» испол</w:t>
      </w:r>
      <w:r w:rsidRPr="006A3166">
        <w:rPr>
          <w:sz w:val="22"/>
          <w:szCs w:val="22"/>
        </w:rPr>
        <w:t>ь</w:t>
      </w:r>
      <w:r w:rsidRPr="006A3166">
        <w:rPr>
          <w:sz w:val="22"/>
          <w:szCs w:val="22"/>
        </w:rPr>
        <w:t>зуются данные финансовой отчетности за 2009 год.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Таблица 1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Финансовые показатели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2"/>
        <w:gridCol w:w="4789"/>
      </w:tblGrid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Основные показатели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Сумма (тыс. руб.)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Выручка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51784946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Валовая прибыль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15187501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Чистая прибыль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6005663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8762534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11045706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Налог на прибыль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1417739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НДС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1504699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Оплата труда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172762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Платежи во внебюдже</w:t>
            </w:r>
            <w:r w:rsidRPr="006A3166">
              <w:rPr>
                <w:sz w:val="22"/>
                <w:szCs w:val="22"/>
              </w:rPr>
              <w:t>т</w:t>
            </w:r>
            <w:r w:rsidRPr="006A3166">
              <w:rPr>
                <w:sz w:val="22"/>
                <w:szCs w:val="22"/>
              </w:rPr>
              <w:t>ные фонды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55024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НДФЛ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22459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Амортизация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102641</w:t>
            </w:r>
          </w:p>
        </w:tc>
      </w:tr>
      <w:tr w:rsidR="006A3166" w:rsidRPr="006A3166" w:rsidTr="002E3377">
        <w:trPr>
          <w:jc w:val="center"/>
        </w:trPr>
        <w:tc>
          <w:tcPr>
            <w:tcW w:w="2498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Материальные затраты</w:t>
            </w:r>
          </w:p>
        </w:tc>
        <w:tc>
          <w:tcPr>
            <w:tcW w:w="2502" w:type="pct"/>
          </w:tcPr>
          <w:p w:rsidR="006A3166" w:rsidRPr="006A3166" w:rsidRDefault="006A3166" w:rsidP="006A3166">
            <w:pPr>
              <w:widowControl w:val="0"/>
              <w:rPr>
                <w:sz w:val="22"/>
                <w:szCs w:val="22"/>
              </w:rPr>
            </w:pPr>
            <w:r w:rsidRPr="006A3166">
              <w:rPr>
                <w:sz w:val="22"/>
                <w:szCs w:val="22"/>
              </w:rPr>
              <w:t>36596445</w:t>
            </w:r>
          </w:p>
        </w:tc>
      </w:tr>
    </w:tbl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pStyle w:val="2"/>
        <w:keepNext w:val="0"/>
        <w:widowControl w:val="0"/>
        <w:spacing w:before="0" w:after="0"/>
        <w:ind w:left="709"/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</w:pPr>
      <w:bookmarkStart w:id="0" w:name="_Toc280127365"/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3.1 Расчет налоговой нагрузки по методике Департамента налоговой политики Министерства финансов РФ</w:t>
      </w:r>
      <w:bookmarkEnd w:id="0"/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В соответствии с этой методикой предложено оценивать тяжесть нал</w:t>
      </w:r>
      <w:r w:rsidRPr="006A3166">
        <w:rPr>
          <w:sz w:val="22"/>
          <w:szCs w:val="22"/>
        </w:rPr>
        <w:t>о</w:t>
      </w:r>
      <w:r w:rsidRPr="006A3166">
        <w:rPr>
          <w:sz w:val="22"/>
          <w:szCs w:val="22"/>
        </w:rPr>
        <w:t>гового бремени отношением всех уплаченных организаций налогов к выручке, вкл</w:t>
      </w:r>
      <w:r w:rsidRPr="006A3166">
        <w:rPr>
          <w:sz w:val="22"/>
          <w:szCs w:val="22"/>
        </w:rPr>
        <w:t>ю</w:t>
      </w:r>
      <w:r w:rsidRPr="006A3166">
        <w:rPr>
          <w:sz w:val="22"/>
          <w:szCs w:val="22"/>
        </w:rPr>
        <w:t>чая выручку от прочей реализации.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НН = (1417739+1504699+22459+55024)/51784946 * 100% = 5,8%</w:t>
      </w: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Налоговая нагрузка предприятия составила </w:t>
      </w:r>
      <w:r w:rsidRPr="006A3166">
        <w:rPr>
          <w:caps/>
          <w:sz w:val="22"/>
          <w:szCs w:val="22"/>
        </w:rPr>
        <w:t>5,8%</w:t>
      </w: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Недостаток такого расчета состоит в том, что он не позволяет опред</w:t>
      </w:r>
      <w:r w:rsidRPr="006A3166">
        <w:rPr>
          <w:sz w:val="22"/>
          <w:szCs w:val="22"/>
        </w:rPr>
        <w:t>е</w:t>
      </w:r>
      <w:r w:rsidRPr="006A3166">
        <w:rPr>
          <w:sz w:val="22"/>
          <w:szCs w:val="22"/>
        </w:rPr>
        <w:t>лить влияние изменений структуры налогов на показатель налогового брем</w:t>
      </w:r>
      <w:r w:rsidRPr="006A3166">
        <w:rPr>
          <w:sz w:val="22"/>
          <w:szCs w:val="22"/>
        </w:rPr>
        <w:t>е</w:t>
      </w:r>
      <w:r w:rsidRPr="006A3166">
        <w:rPr>
          <w:sz w:val="22"/>
          <w:szCs w:val="22"/>
        </w:rPr>
        <w:t xml:space="preserve">ни. Рассчитанная по данной </w:t>
      </w:r>
      <w:r w:rsidRPr="006A3166">
        <w:rPr>
          <w:sz w:val="22"/>
          <w:szCs w:val="22"/>
        </w:rPr>
        <w:lastRenderedPageBreak/>
        <w:t xml:space="preserve">методике налоговая нагрузка характеризует только </w:t>
      </w:r>
      <w:proofErr w:type="spellStart"/>
      <w:r w:rsidRPr="006A3166">
        <w:rPr>
          <w:sz w:val="22"/>
          <w:szCs w:val="22"/>
        </w:rPr>
        <w:t>налог</w:t>
      </w:r>
      <w:r w:rsidRPr="006A3166">
        <w:rPr>
          <w:sz w:val="22"/>
          <w:szCs w:val="22"/>
        </w:rPr>
        <w:t>о</w:t>
      </w:r>
      <w:r w:rsidRPr="006A3166">
        <w:rPr>
          <w:sz w:val="22"/>
          <w:szCs w:val="22"/>
        </w:rPr>
        <w:t>емкость</w:t>
      </w:r>
      <w:proofErr w:type="spellEnd"/>
      <w:r w:rsidRPr="006A3166">
        <w:rPr>
          <w:sz w:val="22"/>
          <w:szCs w:val="22"/>
        </w:rPr>
        <w:t xml:space="preserve"> продукции произведенной хозяйствующим субъектом и не дает реальной картины налогового бремени, который несет налогопл</w:t>
      </w:r>
      <w:r w:rsidRPr="006A3166">
        <w:rPr>
          <w:sz w:val="22"/>
          <w:szCs w:val="22"/>
        </w:rPr>
        <w:t>а</w:t>
      </w:r>
      <w:r w:rsidRPr="006A3166">
        <w:rPr>
          <w:sz w:val="22"/>
          <w:szCs w:val="22"/>
        </w:rPr>
        <w:t>тельщик.</w:t>
      </w:r>
    </w:p>
    <w:p w:rsidR="006A3166" w:rsidRPr="006A3166" w:rsidRDefault="006A3166" w:rsidP="006A3166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bookmarkStart w:id="1" w:name="_Toc280038448"/>
      <w:bookmarkStart w:id="2" w:name="_Toc280127366"/>
    </w:p>
    <w:p w:rsidR="006A3166" w:rsidRPr="006A3166" w:rsidRDefault="006A3166" w:rsidP="006A3166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</w:pP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3.2 Расчет налоговой нагрузки по методике Е.А. Кир</w:t>
      </w: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о</w:t>
      </w: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вой</w:t>
      </w:r>
      <w:bookmarkEnd w:id="1"/>
      <w:bookmarkEnd w:id="2"/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Согласно этой методике, налоговая нагрузка подразделяется на </w:t>
      </w:r>
      <w:proofErr w:type="gramStart"/>
      <w:r w:rsidRPr="006A3166">
        <w:rPr>
          <w:sz w:val="22"/>
          <w:szCs w:val="22"/>
        </w:rPr>
        <w:t>а</w:t>
      </w:r>
      <w:r w:rsidRPr="006A3166">
        <w:rPr>
          <w:sz w:val="22"/>
          <w:szCs w:val="22"/>
        </w:rPr>
        <w:t>б</w:t>
      </w:r>
      <w:r w:rsidRPr="006A3166">
        <w:rPr>
          <w:sz w:val="22"/>
          <w:szCs w:val="22"/>
        </w:rPr>
        <w:t>солютную</w:t>
      </w:r>
      <w:proofErr w:type="gramEnd"/>
      <w:r w:rsidRPr="006A3166">
        <w:rPr>
          <w:sz w:val="22"/>
          <w:szCs w:val="22"/>
        </w:rPr>
        <w:t xml:space="preserve"> и относительную.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 xml:space="preserve">АНН = 1417739+1504699+55024 = 2977462 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Абсолютная налоговая нагрузка предприятия составляет 2977462 тыс</w:t>
      </w:r>
      <w:r w:rsidRPr="006A3166">
        <w:rPr>
          <w:sz w:val="22"/>
          <w:szCs w:val="22"/>
        </w:rPr>
        <w:t>я</w:t>
      </w:r>
      <w:r w:rsidRPr="006A3166">
        <w:rPr>
          <w:sz w:val="22"/>
          <w:szCs w:val="22"/>
        </w:rPr>
        <w:t>чи рублей.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Для расчета относительной налоговой нагрузки необходимо рассчитать вновь созданную стоимость.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ВСС = 51784946-36596445-102641+8762534-11045706 = 12802688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ОНН = 2977462/12802688*100% = 23,2%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Относительная налоговая нагрузка составляет 23,2%.</w:t>
      </w: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Достоинства данной методики заключается в том, что на величину вновь созданной стоимости не влияют уплачиваемые налоги. В расчет вкл</w:t>
      </w:r>
      <w:r w:rsidRPr="006A3166">
        <w:rPr>
          <w:sz w:val="22"/>
          <w:szCs w:val="22"/>
        </w:rPr>
        <w:t>ю</w:t>
      </w:r>
      <w:r w:rsidRPr="006A3166">
        <w:rPr>
          <w:sz w:val="22"/>
          <w:szCs w:val="22"/>
        </w:rPr>
        <w:t>чаются все налоговые платежи, уплачиваемые непосредственно организац</w:t>
      </w:r>
      <w:r w:rsidRPr="006A3166">
        <w:rPr>
          <w:sz w:val="22"/>
          <w:szCs w:val="22"/>
        </w:rPr>
        <w:t>и</w:t>
      </w:r>
      <w:r w:rsidRPr="006A3166">
        <w:rPr>
          <w:sz w:val="22"/>
          <w:szCs w:val="22"/>
        </w:rPr>
        <w:t>ей. На объективность расчета не влияет принадлежность к той или иной о</w:t>
      </w:r>
      <w:r w:rsidRPr="006A3166">
        <w:rPr>
          <w:sz w:val="22"/>
          <w:szCs w:val="22"/>
        </w:rPr>
        <w:t>т</w:t>
      </w:r>
      <w:r w:rsidRPr="006A3166">
        <w:rPr>
          <w:sz w:val="22"/>
          <w:szCs w:val="22"/>
        </w:rPr>
        <w:t>расли, а так же масштабы организации. Таким образом. Методика Е.А. Кир</w:t>
      </w:r>
      <w:r w:rsidRPr="006A3166">
        <w:rPr>
          <w:sz w:val="22"/>
          <w:szCs w:val="22"/>
        </w:rPr>
        <w:t>о</w:t>
      </w:r>
      <w:r w:rsidRPr="006A3166">
        <w:rPr>
          <w:sz w:val="22"/>
          <w:szCs w:val="22"/>
        </w:rPr>
        <w:t>вой применима к конкретным хозяйствующим субъектам.</w:t>
      </w:r>
    </w:p>
    <w:p w:rsidR="006A3166" w:rsidRPr="006A3166" w:rsidRDefault="006A3166" w:rsidP="006A3166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bookmarkStart w:id="3" w:name="_Toc280038449"/>
      <w:bookmarkStart w:id="4" w:name="_Toc280127367"/>
    </w:p>
    <w:p w:rsidR="006A3166" w:rsidRPr="006A3166" w:rsidRDefault="006A3166" w:rsidP="006A3166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</w:pP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br w:type="page"/>
      </w: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lastRenderedPageBreak/>
        <w:t>3.3 Расчет налоговой нагрузки по методике М.И. Ли</w:t>
      </w: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т</w:t>
      </w:r>
      <w:r w:rsidRPr="006A3166">
        <w:rPr>
          <w:rFonts w:ascii="Times New Roman" w:hAnsi="Times New Roman" w:cs="Times New Roman"/>
          <w:bCs w:val="0"/>
          <w:i w:val="0"/>
          <w:iCs w:val="0"/>
          <w:sz w:val="22"/>
          <w:szCs w:val="22"/>
        </w:rPr>
        <w:t>вина</w:t>
      </w:r>
      <w:bookmarkEnd w:id="3"/>
      <w:bookmarkEnd w:id="4"/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Показатель налоговой нагрузки связан с числом налогов и других обязательных платежей, структурой налогов на предприятии, механизмом взимания налогов. Помимо общего показателя налоговой нагрузки экономич</w:t>
      </w:r>
      <w:r w:rsidRPr="006A3166">
        <w:rPr>
          <w:sz w:val="22"/>
          <w:szCs w:val="22"/>
        </w:rPr>
        <w:t>е</w:t>
      </w:r>
      <w:r w:rsidRPr="006A3166">
        <w:rPr>
          <w:sz w:val="22"/>
          <w:szCs w:val="22"/>
        </w:rPr>
        <w:t>ского субъекта в методике активно используются частные показатели, опр</w:t>
      </w:r>
      <w:r w:rsidRPr="006A3166">
        <w:rPr>
          <w:sz w:val="22"/>
          <w:szCs w:val="22"/>
        </w:rPr>
        <w:t>е</w:t>
      </w:r>
      <w:r w:rsidRPr="006A3166">
        <w:rPr>
          <w:sz w:val="22"/>
          <w:szCs w:val="22"/>
        </w:rPr>
        <w:t>деляемые как соотношения отдельных налогов и групп налогов с конкретным источником платежа. С помощью этих показателей можно определять оптимальную налоговую н</w:t>
      </w:r>
      <w:r w:rsidRPr="006A3166">
        <w:rPr>
          <w:sz w:val="22"/>
          <w:szCs w:val="22"/>
        </w:rPr>
        <w:t>а</w:t>
      </w:r>
      <w:r w:rsidRPr="006A3166">
        <w:rPr>
          <w:sz w:val="22"/>
          <w:szCs w:val="22"/>
        </w:rPr>
        <w:t>грузку в зависимости от отраслевой принадлежности экономического субъекта.</w:t>
      </w: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ind w:firstLine="709"/>
        <w:jc w:val="both"/>
        <w:rPr>
          <w:sz w:val="22"/>
          <w:szCs w:val="22"/>
        </w:rPr>
      </w:pPr>
      <w:bookmarkStart w:id="5" w:name="_GoBack"/>
      <w:r w:rsidRPr="006A3166">
        <w:rPr>
          <w:sz w:val="22"/>
          <w:szCs w:val="22"/>
        </w:rPr>
        <w:t>НН =</w:t>
      </w:r>
      <w:bookmarkEnd w:id="5"/>
      <w:r w:rsidRPr="006A3166">
        <w:rPr>
          <w:sz w:val="22"/>
          <w:szCs w:val="22"/>
        </w:rPr>
        <w:t xml:space="preserve"> (1417739/6005663 + 22459/172762 + 55024/172762)*100% = 68%</w:t>
      </w: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A3166" w:rsidRPr="006A3166" w:rsidRDefault="006A3166" w:rsidP="006A316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A3166">
        <w:rPr>
          <w:sz w:val="22"/>
          <w:szCs w:val="22"/>
        </w:rPr>
        <w:t>Данная методика характеризует среднее значение налоговой нагрузки по всем видам н</w:t>
      </w:r>
      <w:r w:rsidRPr="006A3166">
        <w:rPr>
          <w:sz w:val="22"/>
          <w:szCs w:val="22"/>
        </w:rPr>
        <w:t>а</w:t>
      </w:r>
      <w:r w:rsidRPr="006A3166">
        <w:rPr>
          <w:sz w:val="22"/>
          <w:szCs w:val="22"/>
        </w:rPr>
        <w:t>логов, пороговое значение которого составляет 68%.</w:t>
      </w:r>
    </w:p>
    <w:p w:rsidR="007F7396" w:rsidRPr="006A3166" w:rsidRDefault="007F7396" w:rsidP="006A3166">
      <w:pPr>
        <w:rPr>
          <w:sz w:val="22"/>
          <w:szCs w:val="22"/>
        </w:rPr>
      </w:pPr>
    </w:p>
    <w:sectPr w:rsidR="007F7396" w:rsidRPr="006A3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CB"/>
    <w:rsid w:val="006A3166"/>
    <w:rsid w:val="007F7396"/>
    <w:rsid w:val="00804FB6"/>
    <w:rsid w:val="00BE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31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A31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31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316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31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A31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31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316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</dc:creator>
  <cp:keywords/>
  <dc:description/>
  <cp:lastModifiedBy>Stud</cp:lastModifiedBy>
  <cp:revision>3</cp:revision>
  <dcterms:created xsi:type="dcterms:W3CDTF">2012-10-05T13:44:00Z</dcterms:created>
  <dcterms:modified xsi:type="dcterms:W3CDTF">2012-10-05T13:58:00Z</dcterms:modified>
</cp:coreProperties>
</file>